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 w:eastAsia="黑体"/>
          <w:sz w:val="30"/>
          <w:szCs w:val="30"/>
        </w:rPr>
      </w:pPr>
      <w:r>
        <w:rPr>
          <w:rFonts w:hint="eastAsia" w:eastAsia="黑体"/>
          <w:sz w:val="30"/>
          <w:szCs w:val="30"/>
        </w:rPr>
        <w:t>中 国 海 洋 大 学</w:t>
      </w:r>
    </w:p>
    <w:p>
      <w:pPr>
        <w:pStyle w:val="5"/>
        <w:spacing w:line="400" w:lineRule="exact"/>
        <w:jc w:val="center"/>
        <w:rPr>
          <w:rFonts w:hint="eastAsia" w:eastAsia="黑体"/>
          <w:sz w:val="30"/>
          <w:szCs w:val="30"/>
        </w:rPr>
      </w:pPr>
      <w:r>
        <w:rPr>
          <w:rFonts w:hint="eastAsia" w:eastAsia="黑体"/>
          <w:sz w:val="30"/>
          <w:szCs w:val="30"/>
        </w:rPr>
        <w:t>（理论课）课程教学质量评估专家用表</w:t>
      </w:r>
    </w:p>
    <w:p>
      <w:pPr>
        <w:spacing w:before="218" w:beforeLines="70" w:after="31" w:afterLines="10"/>
        <w:ind w:firstLine="220" w:firstLineChars="100"/>
        <w:rPr>
          <w:rFonts w:hint="eastAsia" w:ascii="黑体" w:eastAsia="黑体"/>
          <w:szCs w:val="21"/>
        </w:rPr>
      </w:pPr>
      <w:r>
        <w:rPr>
          <w:rFonts w:hint="eastAsia" w:ascii="黑体" w:eastAsia="黑体"/>
          <w:sz w:val="22"/>
          <w:szCs w:val="20"/>
        </w:rPr>
        <w:t>专家</w:t>
      </w:r>
      <w:r>
        <w:rPr>
          <w:rFonts w:ascii="黑体" w:eastAsia="黑体"/>
          <w:sz w:val="22"/>
          <w:szCs w:val="20"/>
        </w:rPr>
        <w:t>签名：</w:t>
      </w:r>
      <w:r>
        <w:rPr>
          <w:rFonts w:hint="eastAsia" w:ascii="黑体" w:eastAsia="黑体"/>
          <w:sz w:val="22"/>
          <w:szCs w:val="20"/>
        </w:rPr>
        <w:t xml:space="preserve">     </w:t>
      </w:r>
      <w:r>
        <w:rPr>
          <w:rFonts w:hint="eastAsia" w:ascii="黑体" w:eastAsia="黑体"/>
          <w:sz w:val="22"/>
          <w:szCs w:val="20"/>
          <w:lang w:val="en-US" w:eastAsia="zh-CN"/>
        </w:rPr>
        <w:t xml:space="preserve">              </w:t>
      </w:r>
      <w:r>
        <w:rPr>
          <w:rFonts w:hint="eastAsia" w:ascii="黑体" w:eastAsia="黑体"/>
          <w:sz w:val="22"/>
          <w:szCs w:val="20"/>
        </w:rPr>
        <w:t xml:space="preserve">     听课</w:t>
      </w:r>
      <w:r>
        <w:rPr>
          <w:rFonts w:ascii="黑体" w:eastAsia="黑体"/>
          <w:sz w:val="22"/>
          <w:szCs w:val="20"/>
        </w:rPr>
        <w:t>时间</w:t>
      </w:r>
      <w:r>
        <w:rPr>
          <w:rFonts w:hint="eastAsia" w:ascii="黑体" w:eastAsia="黑体"/>
          <w:sz w:val="22"/>
          <w:szCs w:val="20"/>
        </w:rPr>
        <w:t>/节</w:t>
      </w:r>
      <w:r>
        <w:rPr>
          <w:rFonts w:ascii="黑体" w:eastAsia="黑体"/>
          <w:sz w:val="22"/>
          <w:szCs w:val="20"/>
        </w:rPr>
        <w:t>次：</w:t>
      </w:r>
      <w:r>
        <w:rPr>
          <w:rFonts w:hint="eastAsia" w:ascii="黑体" w:eastAsia="黑体"/>
          <w:sz w:val="22"/>
          <w:szCs w:val="20"/>
        </w:rPr>
        <w:t xml:space="preserve">  </w:t>
      </w:r>
      <w:r>
        <w:rPr>
          <w:rFonts w:hint="eastAsia" w:ascii="黑体" w:eastAsia="黑体"/>
          <w:sz w:val="22"/>
          <w:szCs w:val="20"/>
          <w:lang w:val="en-US" w:eastAsia="zh-CN"/>
        </w:rPr>
        <w:t xml:space="preserve"> </w:t>
      </w:r>
      <w:r>
        <w:rPr>
          <w:rFonts w:hint="eastAsia" w:ascii="黑体" w:eastAsia="黑体"/>
          <w:sz w:val="22"/>
          <w:szCs w:val="20"/>
        </w:rPr>
        <w:t xml:space="preserve"> </w:t>
      </w:r>
      <w:r>
        <w:rPr>
          <w:rFonts w:hint="eastAsia" w:ascii="黑体" w:eastAsia="黑体"/>
          <w:sz w:val="22"/>
          <w:szCs w:val="20"/>
          <w:lang w:val="en-US" w:eastAsia="zh-CN"/>
        </w:rPr>
        <w:t xml:space="preserve">                  </w:t>
      </w:r>
      <w:r>
        <w:rPr>
          <w:rFonts w:hint="eastAsia" w:ascii="黑体" w:eastAsia="黑体"/>
          <w:sz w:val="22"/>
          <w:szCs w:val="20"/>
        </w:rPr>
        <w:t xml:space="preserve"> 地点</w:t>
      </w:r>
      <w:r>
        <w:rPr>
          <w:rFonts w:ascii="黑体" w:eastAsia="黑体"/>
          <w:sz w:val="22"/>
          <w:szCs w:val="20"/>
        </w:rPr>
        <w:t>：</w:t>
      </w:r>
    </w:p>
    <w:tbl>
      <w:tblPr>
        <w:tblStyle w:val="6"/>
        <w:tblW w:w="10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1380"/>
        <w:gridCol w:w="1296"/>
        <w:gridCol w:w="1356"/>
        <w:gridCol w:w="694"/>
        <w:gridCol w:w="1424"/>
        <w:gridCol w:w="858"/>
        <w:gridCol w:w="489"/>
        <w:gridCol w:w="489"/>
        <w:gridCol w:w="489"/>
        <w:gridCol w:w="4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7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授课教师</w:t>
            </w:r>
          </w:p>
        </w:tc>
        <w:tc>
          <w:tcPr>
            <w:tcW w:w="138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工作单位</w:t>
            </w:r>
          </w:p>
        </w:tc>
        <w:tc>
          <w:tcPr>
            <w:tcW w:w="205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42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课程名称</w:t>
            </w:r>
          </w:p>
        </w:tc>
        <w:tc>
          <w:tcPr>
            <w:tcW w:w="2814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课程类别</w:t>
            </w:r>
          </w:p>
        </w:tc>
        <w:tc>
          <w:tcPr>
            <w:tcW w:w="403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公共基础□  通识教育</w:t>
            </w:r>
            <w:r>
              <w:rPr>
                <w:rFonts w:hint="eastAsia" w:ascii="仿宋" w:hAnsi="仿宋" w:eastAsia="仿宋"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szCs w:val="21"/>
              </w:rPr>
              <w:t xml:space="preserve">  专业教育</w:t>
            </w:r>
            <w:r>
              <w:rPr>
                <w:rFonts w:hint="eastAsia" w:ascii="仿宋" w:hAnsi="仿宋" w:eastAsia="仿宋"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</w:p>
        </w:tc>
        <w:tc>
          <w:tcPr>
            <w:tcW w:w="2118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授课对象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（专业/年级/人</w:t>
            </w:r>
            <w:r>
              <w:rPr>
                <w:rFonts w:ascii="仿宋" w:hAnsi="仿宋" w:eastAsia="仿宋"/>
                <w:szCs w:val="21"/>
              </w:rPr>
              <w:t>数</w:t>
            </w:r>
            <w:r>
              <w:rPr>
                <w:rFonts w:hint="eastAsia" w:ascii="仿宋" w:hAnsi="仿宋" w:eastAsia="仿宋"/>
                <w:szCs w:val="21"/>
              </w:rPr>
              <w:t>）</w:t>
            </w:r>
          </w:p>
        </w:tc>
        <w:tc>
          <w:tcPr>
            <w:tcW w:w="2814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273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一级指标</w:t>
            </w:r>
          </w:p>
        </w:tc>
        <w:tc>
          <w:tcPr>
            <w:tcW w:w="7008" w:type="dxa"/>
            <w:gridSpan w:val="6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二级指标（指标内涵）</w:t>
            </w:r>
          </w:p>
        </w:tc>
        <w:tc>
          <w:tcPr>
            <w:tcW w:w="1956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量化等级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7008" w:type="dxa"/>
            <w:gridSpan w:val="6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优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adjustRightInd w:val="0"/>
              <w:snapToGrid w:val="0"/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秀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良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adjustRightInd w:val="0"/>
              <w:snapToGrid w:val="0"/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好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合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adjustRightInd w:val="0"/>
              <w:snapToGrid w:val="0"/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格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73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教学态度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15%</w:t>
            </w: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1.有良好的师德师风，爱岗敬业，治学严谨，执教严明，要求严格。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2.有正确的教育思想观念，积极</w:t>
            </w:r>
            <w:r>
              <w:rPr>
                <w:rFonts w:ascii="仿宋" w:hAnsi="仿宋" w:eastAsia="仿宋"/>
                <w:szCs w:val="21"/>
              </w:rPr>
              <w:t>挖掘课程思政元素，坚持立德树人，</w:t>
            </w:r>
            <w:r>
              <w:rPr>
                <w:rFonts w:hint="eastAsia" w:ascii="仿宋" w:hAnsi="仿宋" w:eastAsia="仿宋"/>
                <w:szCs w:val="21"/>
              </w:rPr>
              <w:t>着力将教书育人落实于课程教学的主渠道中，实现育人与专业教育的统一。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3.精神饱满，衣着整洁，课前准备充分，</w:t>
            </w:r>
            <w:r>
              <w:rPr>
                <w:rFonts w:hint="eastAsia" w:ascii="仿宋" w:hAnsi="仿宋" w:eastAsia="仿宋" w:cs="仿宋"/>
                <w:szCs w:val="21"/>
              </w:rPr>
              <w:t>遵纪</w:t>
            </w:r>
            <w:r>
              <w:rPr>
                <w:rFonts w:ascii="仿宋" w:hAnsi="仿宋" w:eastAsia="仿宋" w:cs="仿宋"/>
                <w:szCs w:val="21"/>
              </w:rPr>
              <w:t>守</w:t>
            </w:r>
            <w:r>
              <w:rPr>
                <w:rFonts w:hint="eastAsia" w:ascii="仿宋" w:hAnsi="仿宋" w:eastAsia="仿宋" w:cs="仿宋"/>
                <w:szCs w:val="21"/>
              </w:rPr>
              <w:t>时，</w:t>
            </w:r>
            <w:r>
              <w:rPr>
                <w:rFonts w:hint="eastAsia" w:ascii="仿宋" w:hAnsi="仿宋" w:eastAsia="仿宋"/>
                <w:szCs w:val="21"/>
              </w:rPr>
              <w:t>认真投入。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73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教学内容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35%</w:t>
            </w: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4.课程设置</w:t>
            </w:r>
            <w:r>
              <w:rPr>
                <w:rFonts w:ascii="仿宋" w:hAnsi="仿宋" w:eastAsia="仿宋"/>
                <w:szCs w:val="21"/>
              </w:rPr>
              <w:t>目的</w:t>
            </w:r>
            <w:r>
              <w:rPr>
                <w:rFonts w:hint="eastAsia" w:ascii="仿宋" w:hAnsi="仿宋" w:eastAsia="仿宋"/>
                <w:szCs w:val="21"/>
              </w:rPr>
              <w:t>、功能定位准确，符合专业人才培养目标要求；课程教学目标明确，与相关前修、后置课程衔接合理。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5.教学日历、大纲、教学设计、教案等教学文件齐备、规范；网络</w:t>
            </w:r>
            <w:r>
              <w:rPr>
                <w:rFonts w:ascii="仿宋" w:hAnsi="仿宋" w:eastAsia="仿宋"/>
                <w:szCs w:val="21"/>
              </w:rPr>
              <w:t>学习</w:t>
            </w:r>
            <w:r>
              <w:rPr>
                <w:rFonts w:hint="eastAsia" w:ascii="仿宋" w:hAnsi="仿宋" w:eastAsia="仿宋"/>
                <w:szCs w:val="21"/>
              </w:rPr>
              <w:t>平台</w:t>
            </w:r>
            <w:r>
              <w:rPr>
                <w:rFonts w:ascii="仿宋" w:hAnsi="仿宋" w:eastAsia="仿宋"/>
                <w:szCs w:val="21"/>
              </w:rPr>
              <w:t>资源丰富</w:t>
            </w:r>
            <w:r>
              <w:rPr>
                <w:rFonts w:hint="eastAsia" w:ascii="仿宋" w:hAnsi="仿宋" w:eastAsia="仿宋"/>
                <w:szCs w:val="21"/>
              </w:rPr>
              <w:t>，</w:t>
            </w:r>
            <w:r>
              <w:rPr>
                <w:rFonts w:ascii="仿宋" w:hAnsi="仿宋" w:eastAsia="仿宋"/>
                <w:szCs w:val="21"/>
              </w:rPr>
              <w:t>与课</w:t>
            </w:r>
            <w:r>
              <w:rPr>
                <w:rFonts w:hint="eastAsia" w:ascii="仿宋" w:hAnsi="仿宋" w:eastAsia="仿宋"/>
                <w:szCs w:val="21"/>
              </w:rPr>
              <w:t>堂</w:t>
            </w:r>
            <w:r>
              <w:rPr>
                <w:rFonts w:ascii="仿宋" w:hAnsi="仿宋" w:eastAsia="仿宋"/>
                <w:szCs w:val="21"/>
              </w:rPr>
              <w:t>教学配合紧密</w:t>
            </w:r>
            <w:r>
              <w:rPr>
                <w:rFonts w:hint="eastAsia" w:ascii="仿宋" w:hAnsi="仿宋" w:eastAsia="仿宋"/>
                <w:szCs w:val="21"/>
              </w:rPr>
              <w:t>；参考教材及辅助教学资料适切、先进、数量恰当</w:t>
            </w:r>
            <w:r>
              <w:rPr>
                <w:rFonts w:ascii="仿宋" w:hAnsi="仿宋" w:eastAsia="仿宋"/>
                <w:szCs w:val="21"/>
              </w:rPr>
              <w:t>。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6.内容充实、先进，具有前沿性、时代性与创新性；教学安排合理、紧凑，重难点突出，具有一定的深度、难度和挑战度。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7.内容娴熟，观点正确，概念准确，条理清晰，逻辑严谨，讲解深入透彻。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pStyle w:val="12"/>
              <w:autoSpaceDE/>
              <w:autoSpaceDN/>
              <w:snapToGrid w:val="0"/>
              <w:rPr>
                <w:rFonts w:hint="eastAsia" w:ascii="仿宋" w:hAnsi="仿宋" w:eastAsia="仿宋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1"/>
                <w:szCs w:val="21"/>
              </w:rPr>
              <w:t>8.理论联系实际，注重典型案例分析和国家标准及行业规范解读。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pStyle w:val="12"/>
              <w:autoSpaceDE/>
              <w:autoSpaceDN/>
              <w:snapToGrid w:val="0"/>
              <w:rPr>
                <w:rFonts w:hint="eastAsia" w:ascii="仿宋" w:hAnsi="仿宋" w:eastAsia="仿宋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1"/>
                <w:szCs w:val="21"/>
              </w:rPr>
              <w:t>9.注重培养学生独立思考和理性思辨的科学精神，以及针对关键科学问题或复杂工程问题分析、研究、设计解决方案和使用现代工具的能力。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1273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教学方法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25%</w:t>
            </w: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10.课堂教学</w:t>
            </w:r>
            <w:r>
              <w:rPr>
                <w:rFonts w:ascii="仿宋" w:hAnsi="仿宋" w:eastAsia="仿宋"/>
                <w:szCs w:val="21"/>
              </w:rPr>
              <w:t>安排计划性强</w:t>
            </w:r>
            <w:r>
              <w:rPr>
                <w:rFonts w:hint="eastAsia" w:ascii="仿宋" w:hAnsi="仿宋" w:eastAsia="仿宋"/>
                <w:szCs w:val="21"/>
              </w:rPr>
              <w:t>，目的明确，教学单元有回顾和总结。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left"/>
            </w:pP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11.语言清晰准确、精练流畅、简洁生动，富有感染力。 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12.合理有效地使用信息化辅助教学和新媒体教学技术手段。 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13.板书工整、清楚，利于辨识；课件素材丰富，色彩对比鲜明，制作精当。 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14.合理</w:t>
            </w:r>
            <w:r>
              <w:rPr>
                <w:rFonts w:ascii="仿宋" w:hAnsi="仿宋" w:eastAsia="仿宋"/>
                <w:szCs w:val="21"/>
              </w:rPr>
              <w:t>安排</w:t>
            </w:r>
            <w:r>
              <w:rPr>
                <w:rFonts w:hint="eastAsia" w:ascii="仿宋" w:hAnsi="仿宋" w:eastAsia="仿宋"/>
                <w:szCs w:val="21"/>
              </w:rPr>
              <w:t>课下学习任务，并能进行有效指导、交流和答疑，作业批改及时、细致，注重学习过程的监督和考核。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15.采取启发式教学，启迪思维，注重学生创新意识和能力的培养；以</w:t>
            </w:r>
            <w:r>
              <w:rPr>
                <w:rFonts w:ascii="仿宋" w:hAnsi="仿宋" w:eastAsia="仿宋"/>
                <w:szCs w:val="21"/>
              </w:rPr>
              <w:t>提升教学效果</w:t>
            </w:r>
            <w:r>
              <w:rPr>
                <w:rFonts w:hint="eastAsia" w:ascii="仿宋" w:hAnsi="仿宋" w:eastAsia="仿宋"/>
                <w:szCs w:val="21"/>
              </w:rPr>
              <w:t>为</w:t>
            </w:r>
            <w:r>
              <w:rPr>
                <w:rFonts w:ascii="仿宋" w:hAnsi="仿宋" w:eastAsia="仿宋"/>
                <w:szCs w:val="21"/>
              </w:rPr>
              <w:t>目标</w:t>
            </w:r>
            <w:r>
              <w:rPr>
                <w:rFonts w:hint="eastAsia" w:ascii="仿宋" w:hAnsi="仿宋" w:eastAsia="仿宋"/>
                <w:szCs w:val="21"/>
              </w:rPr>
              <w:t>开展</w:t>
            </w:r>
            <w:r>
              <w:rPr>
                <w:rFonts w:ascii="仿宋" w:hAnsi="仿宋" w:eastAsia="仿宋"/>
                <w:szCs w:val="21"/>
              </w:rPr>
              <w:t>深层次</w:t>
            </w:r>
            <w:r>
              <w:rPr>
                <w:rFonts w:hint="eastAsia" w:ascii="仿宋" w:hAnsi="仿宋" w:eastAsia="仿宋"/>
                <w:szCs w:val="21"/>
              </w:rPr>
              <w:t>教学互动；通过课堂研讨展示、课下小论文和小组协作学习等任务形式，合理安排引导学生自主性和研究性学习。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008" w:type="dxa"/>
            <w:gridSpan w:val="6"/>
            <w:tcBorders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16.因材施教，注重培养学生运用知识解决实际问题的能力。</w:t>
            </w:r>
          </w:p>
        </w:tc>
        <w:tc>
          <w:tcPr>
            <w:tcW w:w="48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8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273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教学效果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25%</w:t>
            </w: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17.注重学生学习效果，根据学生反应及时调整教学策略，教学节奏感强。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18.教学管理严格，学生出勤率高，学习认真投入，兴趣高涨，氛围浓厚。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19.考核标准明确、合理，考核方式选择得当，能切实反映学生学习效果。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008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20.学生的理论认知和技能掌握效果良好。</w:t>
            </w: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8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0237" w:type="dxa"/>
            <w:gridSpan w:val="11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总体评价分数（</w:t>
            </w:r>
            <w:r>
              <w:rPr>
                <w:rFonts w:ascii="仿宋" w:hAnsi="仿宋" w:eastAsia="仿宋" w:cs="仿宋"/>
                <w:szCs w:val="21"/>
              </w:rPr>
              <w:t>百分制）</w:t>
            </w:r>
            <w:r>
              <w:rPr>
                <w:rFonts w:hint="eastAsia" w:ascii="仿宋" w:hAnsi="仿宋" w:eastAsia="仿宋" w:cs="仿宋"/>
                <w:szCs w:val="21"/>
              </w:rPr>
              <w:t>=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9" w:hRule="atLeast"/>
          <w:jc w:val="center"/>
        </w:trPr>
        <w:tc>
          <w:tcPr>
            <w:tcW w:w="1273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课程教学</w:t>
            </w:r>
            <w:r>
              <w:rPr>
                <w:rFonts w:ascii="仿宋" w:hAnsi="仿宋" w:eastAsia="仿宋" w:cs="仿宋"/>
                <w:color w:val="000000"/>
                <w:szCs w:val="21"/>
              </w:rPr>
              <w:t>存在的优点、不足</w:t>
            </w:r>
            <w:r>
              <w:rPr>
                <w:rFonts w:hint="eastAsia" w:ascii="仿宋" w:hAnsi="仿宋" w:eastAsia="仿宋" w:cs="仿宋"/>
                <w:color w:val="000000"/>
                <w:szCs w:val="21"/>
              </w:rPr>
              <w:t>及</w:t>
            </w:r>
            <w:r>
              <w:rPr>
                <w:rFonts w:ascii="仿宋" w:hAnsi="仿宋" w:eastAsia="仿宋" w:cs="仿宋"/>
                <w:color w:val="000000"/>
                <w:szCs w:val="21"/>
              </w:rPr>
              <w:t>改进</w:t>
            </w:r>
            <w:r>
              <w:rPr>
                <w:rFonts w:hint="eastAsia" w:ascii="仿宋" w:hAnsi="仿宋" w:eastAsia="仿宋" w:cs="仿宋"/>
                <w:color w:val="000000"/>
                <w:szCs w:val="21"/>
              </w:rPr>
              <w:t>的</w:t>
            </w:r>
            <w:r>
              <w:rPr>
                <w:rFonts w:ascii="仿宋" w:hAnsi="仿宋" w:eastAsia="仿宋" w:cs="仿宋"/>
                <w:color w:val="000000"/>
                <w:szCs w:val="21"/>
              </w:rPr>
              <w:t>意见建议</w:t>
            </w:r>
          </w:p>
        </w:tc>
        <w:tc>
          <w:tcPr>
            <w:tcW w:w="8964" w:type="dxa"/>
            <w:gridSpan w:val="10"/>
            <w:noWrap w:val="0"/>
            <w:vAlign w:val="center"/>
          </w:tcPr>
          <w:p>
            <w:pPr>
              <w:numPr>
                <w:ilvl w:val="0"/>
                <w:numId w:val="1"/>
              </w:numPr>
              <w:adjustRightInd w:val="0"/>
              <w:snapToGrid w:val="0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</w:tbl>
    <w:p>
      <w:pPr>
        <w:ind w:left="-10" w:leftChars="-85" w:hanging="168" w:hangingChars="84"/>
        <w:rPr>
          <w:rFonts w:hint="eastAsia" w:ascii="宋体" w:hAnsi="宋体"/>
          <w:sz w:val="18"/>
          <w:szCs w:val="18"/>
        </w:rPr>
      </w:pPr>
      <w:r>
        <w:rPr>
          <w:rFonts w:hint="eastAsia"/>
          <w:sz w:val="20"/>
          <w:szCs w:val="21"/>
        </w:rPr>
        <w:t>注：</w:t>
      </w:r>
      <w:r>
        <w:rPr>
          <w:sz w:val="20"/>
          <w:szCs w:val="21"/>
        </w:rPr>
        <w:fldChar w:fldCharType="begin"/>
      </w:r>
      <w:r>
        <w:rPr>
          <w:sz w:val="20"/>
          <w:szCs w:val="21"/>
        </w:rPr>
        <w:instrText xml:space="preserve"> </w:instrText>
      </w:r>
      <w:r>
        <w:rPr>
          <w:rFonts w:hint="eastAsia"/>
          <w:sz w:val="20"/>
          <w:szCs w:val="21"/>
        </w:rPr>
        <w:instrText xml:space="preserve">= 1 \* GB3</w:instrText>
      </w:r>
      <w:r>
        <w:rPr>
          <w:sz w:val="20"/>
          <w:szCs w:val="21"/>
        </w:rPr>
        <w:instrText xml:space="preserve"> </w:instrText>
      </w:r>
      <w:r>
        <w:rPr>
          <w:sz w:val="20"/>
          <w:szCs w:val="21"/>
        </w:rPr>
        <w:fldChar w:fldCharType="separate"/>
      </w:r>
      <w:r>
        <w:rPr>
          <w:rFonts w:hint="eastAsia"/>
          <w:sz w:val="20"/>
          <w:szCs w:val="21"/>
        </w:rPr>
        <w:t>①</w:t>
      </w:r>
      <w:r>
        <w:rPr>
          <w:sz w:val="20"/>
          <w:szCs w:val="21"/>
        </w:rPr>
        <w:fldChar w:fldCharType="end"/>
      </w:r>
      <w:r>
        <w:rPr>
          <w:rFonts w:hint="eastAsia"/>
          <w:sz w:val="20"/>
          <w:szCs w:val="21"/>
        </w:rPr>
        <w:t>请在所选项划“</w:t>
      </w:r>
      <w:r>
        <w:rPr>
          <w:rFonts w:hint="eastAsia"/>
          <w:b/>
          <w:sz w:val="20"/>
          <w:szCs w:val="21"/>
        </w:rPr>
        <w:t>√</w:t>
      </w:r>
      <w:r>
        <w:rPr>
          <w:rFonts w:hint="eastAsia"/>
          <w:sz w:val="20"/>
          <w:szCs w:val="21"/>
        </w:rPr>
        <w:t>”。</w:t>
      </w:r>
      <w:r>
        <w:rPr>
          <w:sz w:val="20"/>
          <w:szCs w:val="21"/>
        </w:rPr>
        <w:fldChar w:fldCharType="begin"/>
      </w:r>
      <w:r>
        <w:rPr>
          <w:sz w:val="20"/>
          <w:szCs w:val="21"/>
        </w:rPr>
        <w:instrText xml:space="preserve"> </w:instrText>
      </w:r>
      <w:r>
        <w:rPr>
          <w:rFonts w:hint="eastAsia"/>
          <w:sz w:val="20"/>
          <w:szCs w:val="21"/>
        </w:rPr>
        <w:instrText xml:space="preserve">= 2 \* GB3</w:instrText>
      </w:r>
      <w:r>
        <w:rPr>
          <w:sz w:val="20"/>
          <w:szCs w:val="21"/>
        </w:rPr>
        <w:instrText xml:space="preserve"> </w:instrText>
      </w:r>
      <w:r>
        <w:rPr>
          <w:sz w:val="20"/>
          <w:szCs w:val="21"/>
        </w:rPr>
        <w:fldChar w:fldCharType="separate"/>
      </w:r>
      <w:r>
        <w:rPr>
          <w:rFonts w:hint="eastAsia"/>
          <w:sz w:val="20"/>
          <w:szCs w:val="21"/>
        </w:rPr>
        <w:t>②</w:t>
      </w:r>
      <w:r>
        <w:rPr>
          <w:sz w:val="20"/>
          <w:szCs w:val="21"/>
        </w:rPr>
        <w:fldChar w:fldCharType="end"/>
      </w:r>
      <w:r>
        <w:rPr>
          <w:rFonts w:hint="eastAsia"/>
          <w:sz w:val="20"/>
          <w:szCs w:val="21"/>
        </w:rPr>
        <w:t>量化等级分为四等，其中：优秀</w:t>
      </w:r>
      <w:r>
        <w:rPr>
          <w:rFonts w:hint="eastAsia" w:ascii="宋体" w:hAnsi="宋体"/>
          <w:sz w:val="20"/>
          <w:szCs w:val="21"/>
        </w:rPr>
        <w:t>≥</w:t>
      </w:r>
      <w:r>
        <w:rPr>
          <w:rFonts w:hint="eastAsia"/>
          <w:sz w:val="20"/>
          <w:szCs w:val="21"/>
        </w:rPr>
        <w:t>90；80</w:t>
      </w:r>
      <w:r>
        <w:rPr>
          <w:rFonts w:hint="eastAsia" w:ascii="宋体" w:hAnsi="宋体"/>
          <w:sz w:val="20"/>
          <w:szCs w:val="21"/>
        </w:rPr>
        <w:t>≤良好＜90；60≤合格＜80；不合格＜60。</w:t>
      </w:r>
      <w:r>
        <w:rPr>
          <w:rFonts w:ascii="宋体" w:hAnsi="宋体"/>
          <w:sz w:val="20"/>
          <w:szCs w:val="21"/>
        </w:rPr>
        <w:fldChar w:fldCharType="begin"/>
      </w:r>
      <w:r>
        <w:rPr>
          <w:rFonts w:ascii="宋体" w:hAnsi="宋体"/>
          <w:sz w:val="20"/>
          <w:szCs w:val="21"/>
        </w:rPr>
        <w:instrText xml:space="preserve"> </w:instrText>
      </w:r>
      <w:r>
        <w:rPr>
          <w:rFonts w:hint="eastAsia" w:ascii="宋体" w:hAnsi="宋体"/>
          <w:sz w:val="20"/>
          <w:szCs w:val="21"/>
        </w:rPr>
        <w:instrText xml:space="preserve">= 3 \* GB3</w:instrText>
      </w:r>
      <w:r>
        <w:rPr>
          <w:rFonts w:ascii="宋体" w:hAnsi="宋体"/>
          <w:sz w:val="20"/>
          <w:szCs w:val="21"/>
        </w:rPr>
        <w:instrText xml:space="preserve"> </w:instrText>
      </w:r>
      <w:r>
        <w:rPr>
          <w:rFonts w:ascii="宋体" w:hAnsi="宋体"/>
          <w:sz w:val="20"/>
          <w:szCs w:val="21"/>
        </w:rPr>
        <w:fldChar w:fldCharType="separate"/>
      </w:r>
      <w:r>
        <w:rPr>
          <w:rFonts w:hint="eastAsia" w:ascii="宋体" w:hAnsi="宋体"/>
          <w:sz w:val="20"/>
          <w:szCs w:val="21"/>
        </w:rPr>
        <w:t>③</w:t>
      </w:r>
      <w:r>
        <w:rPr>
          <w:rFonts w:ascii="宋体" w:hAnsi="宋体"/>
          <w:sz w:val="20"/>
          <w:szCs w:val="21"/>
        </w:rPr>
        <w:fldChar w:fldCharType="end"/>
      </w:r>
      <w:r>
        <w:rPr>
          <w:rFonts w:hint="eastAsia" w:ascii="宋体" w:hAnsi="宋体"/>
          <w:sz w:val="20"/>
          <w:szCs w:val="21"/>
        </w:rPr>
        <w:t>总体评价分数满分为100分。④表格不够可在背面书写。</w:t>
      </w:r>
    </w:p>
    <w:sectPr>
      <w:pgSz w:w="11906" w:h="16838"/>
      <w:pgMar w:top="737" w:right="1134" w:bottom="567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69020D"/>
    <w:multiLevelType w:val="multilevel"/>
    <w:tmpl w:val="2C69020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F7B"/>
    <w:rsid w:val="0000640E"/>
    <w:rsid w:val="00012804"/>
    <w:rsid w:val="00014754"/>
    <w:rsid w:val="00022EAC"/>
    <w:rsid w:val="000350A9"/>
    <w:rsid w:val="0004626E"/>
    <w:rsid w:val="00062906"/>
    <w:rsid w:val="000829BD"/>
    <w:rsid w:val="00085CCF"/>
    <w:rsid w:val="00095CA4"/>
    <w:rsid w:val="000C0438"/>
    <w:rsid w:val="000C7D00"/>
    <w:rsid w:val="000F1600"/>
    <w:rsid w:val="00115D4A"/>
    <w:rsid w:val="00130F44"/>
    <w:rsid w:val="00135998"/>
    <w:rsid w:val="00140B87"/>
    <w:rsid w:val="00157A75"/>
    <w:rsid w:val="00166870"/>
    <w:rsid w:val="00191A28"/>
    <w:rsid w:val="001B7DF2"/>
    <w:rsid w:val="001C3DD3"/>
    <w:rsid w:val="001C5575"/>
    <w:rsid w:val="001D4130"/>
    <w:rsid w:val="001D6D58"/>
    <w:rsid w:val="002025EA"/>
    <w:rsid w:val="002060AB"/>
    <w:rsid w:val="00230B1D"/>
    <w:rsid w:val="00235DF3"/>
    <w:rsid w:val="002474AF"/>
    <w:rsid w:val="00261022"/>
    <w:rsid w:val="00263E9B"/>
    <w:rsid w:val="00280982"/>
    <w:rsid w:val="002B0660"/>
    <w:rsid w:val="002E04F9"/>
    <w:rsid w:val="00301845"/>
    <w:rsid w:val="00304356"/>
    <w:rsid w:val="003175C3"/>
    <w:rsid w:val="00322016"/>
    <w:rsid w:val="0032470D"/>
    <w:rsid w:val="0036562C"/>
    <w:rsid w:val="003675CB"/>
    <w:rsid w:val="0037367B"/>
    <w:rsid w:val="00387FEF"/>
    <w:rsid w:val="003C1A9B"/>
    <w:rsid w:val="003D1AE3"/>
    <w:rsid w:val="003E09D7"/>
    <w:rsid w:val="003E7F6F"/>
    <w:rsid w:val="00404558"/>
    <w:rsid w:val="0041710A"/>
    <w:rsid w:val="004223F2"/>
    <w:rsid w:val="00443178"/>
    <w:rsid w:val="00444032"/>
    <w:rsid w:val="004562EE"/>
    <w:rsid w:val="004616AE"/>
    <w:rsid w:val="00464F57"/>
    <w:rsid w:val="00471C70"/>
    <w:rsid w:val="004B72FA"/>
    <w:rsid w:val="004F1A28"/>
    <w:rsid w:val="00512DA4"/>
    <w:rsid w:val="0055089A"/>
    <w:rsid w:val="00575815"/>
    <w:rsid w:val="00582761"/>
    <w:rsid w:val="005D66F0"/>
    <w:rsid w:val="005D73A7"/>
    <w:rsid w:val="005F3ADE"/>
    <w:rsid w:val="0062445D"/>
    <w:rsid w:val="00667214"/>
    <w:rsid w:val="006A097D"/>
    <w:rsid w:val="00700652"/>
    <w:rsid w:val="0074045F"/>
    <w:rsid w:val="00775DDD"/>
    <w:rsid w:val="00776985"/>
    <w:rsid w:val="00787C22"/>
    <w:rsid w:val="007B0F7B"/>
    <w:rsid w:val="007E6533"/>
    <w:rsid w:val="008015A7"/>
    <w:rsid w:val="00811C99"/>
    <w:rsid w:val="00817177"/>
    <w:rsid w:val="0082451B"/>
    <w:rsid w:val="00827877"/>
    <w:rsid w:val="00845DFB"/>
    <w:rsid w:val="008546CC"/>
    <w:rsid w:val="008605F3"/>
    <w:rsid w:val="00862EE2"/>
    <w:rsid w:val="00877937"/>
    <w:rsid w:val="008849DA"/>
    <w:rsid w:val="008865C6"/>
    <w:rsid w:val="008A0F07"/>
    <w:rsid w:val="008A1024"/>
    <w:rsid w:val="008A5CCB"/>
    <w:rsid w:val="008B5D4D"/>
    <w:rsid w:val="009116D3"/>
    <w:rsid w:val="009571D3"/>
    <w:rsid w:val="00957B7B"/>
    <w:rsid w:val="009611BA"/>
    <w:rsid w:val="00976625"/>
    <w:rsid w:val="00990989"/>
    <w:rsid w:val="009A18C2"/>
    <w:rsid w:val="009B4F85"/>
    <w:rsid w:val="009C3CB1"/>
    <w:rsid w:val="009C6887"/>
    <w:rsid w:val="009D009C"/>
    <w:rsid w:val="00A04FCA"/>
    <w:rsid w:val="00A1663E"/>
    <w:rsid w:val="00A17EAC"/>
    <w:rsid w:val="00A20E9F"/>
    <w:rsid w:val="00A22B57"/>
    <w:rsid w:val="00A40659"/>
    <w:rsid w:val="00A44915"/>
    <w:rsid w:val="00A62B07"/>
    <w:rsid w:val="00A93C5D"/>
    <w:rsid w:val="00AB65D2"/>
    <w:rsid w:val="00AD46A6"/>
    <w:rsid w:val="00AE0284"/>
    <w:rsid w:val="00AE2F2F"/>
    <w:rsid w:val="00AE3F78"/>
    <w:rsid w:val="00AE525F"/>
    <w:rsid w:val="00AE579F"/>
    <w:rsid w:val="00AF31D2"/>
    <w:rsid w:val="00AF4AE7"/>
    <w:rsid w:val="00AF55E7"/>
    <w:rsid w:val="00B04EE0"/>
    <w:rsid w:val="00B272B4"/>
    <w:rsid w:val="00B455AE"/>
    <w:rsid w:val="00B46B37"/>
    <w:rsid w:val="00B678B3"/>
    <w:rsid w:val="00B94315"/>
    <w:rsid w:val="00BA60CC"/>
    <w:rsid w:val="00BB2B0E"/>
    <w:rsid w:val="00BB3DB1"/>
    <w:rsid w:val="00BC2C42"/>
    <w:rsid w:val="00BD5E03"/>
    <w:rsid w:val="00BD7DEE"/>
    <w:rsid w:val="00BF2900"/>
    <w:rsid w:val="00BF3DA3"/>
    <w:rsid w:val="00BF6C33"/>
    <w:rsid w:val="00C267E7"/>
    <w:rsid w:val="00C87DCF"/>
    <w:rsid w:val="00CE3DEF"/>
    <w:rsid w:val="00CF7841"/>
    <w:rsid w:val="00D33D17"/>
    <w:rsid w:val="00D36E8A"/>
    <w:rsid w:val="00D40935"/>
    <w:rsid w:val="00D52A77"/>
    <w:rsid w:val="00D663AF"/>
    <w:rsid w:val="00D66659"/>
    <w:rsid w:val="00D702BB"/>
    <w:rsid w:val="00D80BAE"/>
    <w:rsid w:val="00D96FFA"/>
    <w:rsid w:val="00DA3708"/>
    <w:rsid w:val="00DC4EBA"/>
    <w:rsid w:val="00DC70A3"/>
    <w:rsid w:val="00DE1D03"/>
    <w:rsid w:val="00DF559C"/>
    <w:rsid w:val="00E06514"/>
    <w:rsid w:val="00E11456"/>
    <w:rsid w:val="00E32AA5"/>
    <w:rsid w:val="00E44A5F"/>
    <w:rsid w:val="00E46FE3"/>
    <w:rsid w:val="00E564D9"/>
    <w:rsid w:val="00E83B97"/>
    <w:rsid w:val="00E86DC8"/>
    <w:rsid w:val="00EE5159"/>
    <w:rsid w:val="00F0397F"/>
    <w:rsid w:val="00F06161"/>
    <w:rsid w:val="00F11DFE"/>
    <w:rsid w:val="00F27443"/>
    <w:rsid w:val="00F40456"/>
    <w:rsid w:val="00F42863"/>
    <w:rsid w:val="00F52256"/>
    <w:rsid w:val="00F559CE"/>
    <w:rsid w:val="00F81477"/>
    <w:rsid w:val="00F84D93"/>
    <w:rsid w:val="00FA3A57"/>
    <w:rsid w:val="00FC50D5"/>
    <w:rsid w:val="00FD5456"/>
    <w:rsid w:val="00FE32FA"/>
    <w:rsid w:val="00FF1034"/>
    <w:rsid w:val="01B97652"/>
    <w:rsid w:val="039514B0"/>
    <w:rsid w:val="051122C1"/>
    <w:rsid w:val="05B32355"/>
    <w:rsid w:val="079B2F21"/>
    <w:rsid w:val="07CF34B6"/>
    <w:rsid w:val="07EB0451"/>
    <w:rsid w:val="09370E3F"/>
    <w:rsid w:val="0A5343CD"/>
    <w:rsid w:val="0B3A39E8"/>
    <w:rsid w:val="0CA74FC6"/>
    <w:rsid w:val="0CB363E8"/>
    <w:rsid w:val="0DE46D70"/>
    <w:rsid w:val="0E2E716C"/>
    <w:rsid w:val="0E44230D"/>
    <w:rsid w:val="0EC21600"/>
    <w:rsid w:val="141D3117"/>
    <w:rsid w:val="14F22660"/>
    <w:rsid w:val="160458BA"/>
    <w:rsid w:val="17164BBD"/>
    <w:rsid w:val="19A17A13"/>
    <w:rsid w:val="1BF74D25"/>
    <w:rsid w:val="1C952949"/>
    <w:rsid w:val="1CDB443D"/>
    <w:rsid w:val="1E845FCA"/>
    <w:rsid w:val="1EB46E50"/>
    <w:rsid w:val="1F5B4D85"/>
    <w:rsid w:val="1FD01810"/>
    <w:rsid w:val="205A5FAD"/>
    <w:rsid w:val="21681457"/>
    <w:rsid w:val="23154170"/>
    <w:rsid w:val="2387278F"/>
    <w:rsid w:val="238905B3"/>
    <w:rsid w:val="258904A3"/>
    <w:rsid w:val="27200AC0"/>
    <w:rsid w:val="29F33E47"/>
    <w:rsid w:val="2A2D3BBF"/>
    <w:rsid w:val="2A85178B"/>
    <w:rsid w:val="2CEB1138"/>
    <w:rsid w:val="2DE65B6D"/>
    <w:rsid w:val="2E4A0B4B"/>
    <w:rsid w:val="2E4C7996"/>
    <w:rsid w:val="31A83CCD"/>
    <w:rsid w:val="31AD044B"/>
    <w:rsid w:val="31AE3477"/>
    <w:rsid w:val="32152364"/>
    <w:rsid w:val="3299711D"/>
    <w:rsid w:val="378C21B2"/>
    <w:rsid w:val="393E1019"/>
    <w:rsid w:val="39AE3F86"/>
    <w:rsid w:val="3A004545"/>
    <w:rsid w:val="3BE06D28"/>
    <w:rsid w:val="3C6E027D"/>
    <w:rsid w:val="3D7C378D"/>
    <w:rsid w:val="3E2A1B84"/>
    <w:rsid w:val="3F3E6A3D"/>
    <w:rsid w:val="3F7E26B3"/>
    <w:rsid w:val="3FED7947"/>
    <w:rsid w:val="40310D0C"/>
    <w:rsid w:val="41C57FF0"/>
    <w:rsid w:val="41F131E7"/>
    <w:rsid w:val="42517C91"/>
    <w:rsid w:val="45F331CF"/>
    <w:rsid w:val="469101A3"/>
    <w:rsid w:val="47AC5440"/>
    <w:rsid w:val="4A097636"/>
    <w:rsid w:val="4A28389A"/>
    <w:rsid w:val="4A8F6FF1"/>
    <w:rsid w:val="4B363F13"/>
    <w:rsid w:val="4D007892"/>
    <w:rsid w:val="4D333AB7"/>
    <w:rsid w:val="4D3A2D95"/>
    <w:rsid w:val="4D903E2D"/>
    <w:rsid w:val="4D94335D"/>
    <w:rsid w:val="4DA60349"/>
    <w:rsid w:val="4E08314D"/>
    <w:rsid w:val="4E5A31A7"/>
    <w:rsid w:val="4EA91564"/>
    <w:rsid w:val="4EF94000"/>
    <w:rsid w:val="52333BCC"/>
    <w:rsid w:val="53E1172D"/>
    <w:rsid w:val="548403FB"/>
    <w:rsid w:val="56251EDC"/>
    <w:rsid w:val="58ED4A67"/>
    <w:rsid w:val="596608A6"/>
    <w:rsid w:val="59BA6722"/>
    <w:rsid w:val="5AB458B4"/>
    <w:rsid w:val="5C7143FD"/>
    <w:rsid w:val="5C86745E"/>
    <w:rsid w:val="5D705C14"/>
    <w:rsid w:val="5DC84054"/>
    <w:rsid w:val="5DDE253E"/>
    <w:rsid w:val="5F07601B"/>
    <w:rsid w:val="612A33E4"/>
    <w:rsid w:val="623E7A17"/>
    <w:rsid w:val="63F977D1"/>
    <w:rsid w:val="645C515B"/>
    <w:rsid w:val="650C0989"/>
    <w:rsid w:val="65294FD0"/>
    <w:rsid w:val="67DB6241"/>
    <w:rsid w:val="67E31484"/>
    <w:rsid w:val="684B7109"/>
    <w:rsid w:val="68EC425A"/>
    <w:rsid w:val="690D3EBF"/>
    <w:rsid w:val="6A1B7A05"/>
    <w:rsid w:val="6D177D03"/>
    <w:rsid w:val="6DCE125C"/>
    <w:rsid w:val="6E656ACB"/>
    <w:rsid w:val="6EA04C3B"/>
    <w:rsid w:val="707D2C40"/>
    <w:rsid w:val="70990CC0"/>
    <w:rsid w:val="71067606"/>
    <w:rsid w:val="719A07F0"/>
    <w:rsid w:val="71F637B4"/>
    <w:rsid w:val="720F15F1"/>
    <w:rsid w:val="734C6E93"/>
    <w:rsid w:val="763C0031"/>
    <w:rsid w:val="775A59F5"/>
    <w:rsid w:val="77C43DC3"/>
    <w:rsid w:val="783364A4"/>
    <w:rsid w:val="793B6DB7"/>
    <w:rsid w:val="79792851"/>
    <w:rsid w:val="7A06035F"/>
    <w:rsid w:val="7B1060D8"/>
    <w:rsid w:val="7C40441B"/>
    <w:rsid w:val="7CAA72CF"/>
    <w:rsid w:val="7CC44674"/>
    <w:rsid w:val="7D444BF9"/>
    <w:rsid w:val="7D800575"/>
    <w:rsid w:val="7E04315C"/>
    <w:rsid w:val="7FE174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0"/>
    <w:rPr>
      <w:sz w:val="18"/>
      <w:szCs w:val="18"/>
    </w:rPr>
  </w:style>
  <w:style w:type="paragraph" w:styleId="3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2"/>
    <w:basedOn w:val="1"/>
    <w:uiPriority w:val="0"/>
    <w:rPr>
      <w:sz w:val="44"/>
    </w:rPr>
  </w:style>
  <w:style w:type="table" w:styleId="7">
    <w:name w:val="Table Grid"/>
    <w:basedOn w:val="6"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link w:val="4"/>
    <w:uiPriority w:val="0"/>
    <w:rPr>
      <w:kern w:val="2"/>
      <w:sz w:val="18"/>
      <w:szCs w:val="18"/>
    </w:rPr>
  </w:style>
  <w:style w:type="character" w:customStyle="1" w:styleId="10">
    <w:name w:val="批注框文本 字符"/>
    <w:link w:val="2"/>
    <w:uiPriority w:val="0"/>
    <w:rPr>
      <w:kern w:val="2"/>
      <w:sz w:val="18"/>
      <w:szCs w:val="18"/>
    </w:rPr>
  </w:style>
  <w:style w:type="character" w:customStyle="1" w:styleId="11">
    <w:name w:val="页脚 字符"/>
    <w:link w:val="3"/>
    <w:uiPriority w:val="0"/>
    <w:rPr>
      <w:kern w:val="2"/>
      <w:sz w:val="18"/>
      <w:szCs w:val="18"/>
    </w:rPr>
  </w:style>
  <w:style w:type="paragraph" w:customStyle="1" w:styleId="12">
    <w:name w:val="Default"/>
    <w:uiPriority w:val="0"/>
    <w:pPr>
      <w:widowControl w:val="0"/>
      <w:autoSpaceDE w:val="0"/>
      <w:autoSpaceDN w:val="0"/>
      <w:adjustRightInd w:val="0"/>
    </w:pPr>
    <w:rPr>
      <w:rFonts w:ascii="微软雅黑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Corporation</Company>
  <Pages>1</Pages>
  <Words>256</Words>
  <Characters>1461</Characters>
  <Lines>12</Lines>
  <Paragraphs>3</Paragraphs>
  <TotalTime>2</TotalTime>
  <ScaleCrop>false</ScaleCrop>
  <LinksUpToDate>false</LinksUpToDate>
  <CharactersWithSpaces>1714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2021-06-06T08:49:00Z</dcterms:created>
  <dc:creator>User</dc:creator>
  <cp:lastModifiedBy>雪落梅章</cp:lastModifiedBy>
  <cp:lastPrinted>2021-01-06T02:05:00Z</cp:lastPrinted>
  <dcterms:modified xsi:type="dcterms:W3CDTF">2021-10-20T01:05:45Z</dcterms:modified>
  <dc:title>中国海洋大学教学督导听课记录卡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5BFB4A9CE3284777858ABB3FCB1412AB</vt:lpwstr>
  </property>
</Properties>
</file>